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2BC7" w14:textId="1929A009" w:rsidR="001C7432" w:rsidRDefault="00965EE5" w:rsidP="001C7432">
      <w:r w:rsidRPr="00580772">
        <w:rPr>
          <w:rFonts w:ascii="Arial" w:hAnsi="Arial" w:cs="Arial"/>
          <w:noProof/>
          <w:lang w:eastAsia="en-AU"/>
        </w:rPr>
        <w:drawing>
          <wp:anchor distT="0" distB="0" distL="114300" distR="114300" simplePos="0" relativeHeight="251659264" behindDoc="1" locked="0" layoutInCell="1" allowOverlap="1" wp14:anchorId="23DDB747" wp14:editId="7758B963">
            <wp:simplePos x="0" y="0"/>
            <wp:positionH relativeFrom="column">
              <wp:posOffset>-57150</wp:posOffset>
            </wp:positionH>
            <wp:positionV relativeFrom="paragraph">
              <wp:posOffset>287020</wp:posOffset>
            </wp:positionV>
            <wp:extent cx="1598930" cy="802005"/>
            <wp:effectExtent l="0" t="0" r="1270" b="0"/>
            <wp:wrapNone/>
            <wp:docPr id="1" name="Picture 1" descr="http://www.fmpyouthpathways.com.au/wp-content/uploads/2015/09/McClelland-College-30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mpyouthpathways.com.au/wp-content/uploads/2015/09/McClelland-College-300x15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8930"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83194" w14:textId="02983DB7" w:rsidR="001C7432" w:rsidRPr="00A84752" w:rsidRDefault="00D76F37" w:rsidP="00965EE5">
      <w:pPr>
        <w:keepNext/>
        <w:keepLines/>
        <w:pBdr>
          <w:top w:val="single" w:sz="4" w:space="1" w:color="auto"/>
          <w:left w:val="single" w:sz="4" w:space="4" w:color="auto"/>
          <w:bottom w:val="single" w:sz="4" w:space="31" w:color="auto"/>
          <w:right w:val="single" w:sz="4" w:space="4" w:color="auto"/>
        </w:pBdr>
        <w:spacing w:before="40" w:after="240"/>
        <w:jc w:val="right"/>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REFUND</w:t>
      </w:r>
      <w:r w:rsidR="001C7432">
        <w:rPr>
          <w:rFonts w:asciiTheme="majorHAnsi" w:eastAsiaTheme="majorEastAsia" w:hAnsiTheme="majorHAnsi" w:cstheme="majorBidi"/>
          <w:b/>
          <w:color w:val="5B9BD5" w:themeColor="accent1"/>
          <w:sz w:val="44"/>
          <w:szCs w:val="32"/>
        </w:rPr>
        <w:t xml:space="preserve"> POLICY</w:t>
      </w:r>
    </w:p>
    <w:p w14:paraId="16512332" w14:textId="0FA27EFF" w:rsidR="00B5427D" w:rsidRPr="00752765" w:rsidRDefault="00163A49" w:rsidP="00D45710">
      <w:pPr>
        <w:spacing w:after="240"/>
        <w:jc w:val="both"/>
        <w:rPr>
          <w:highlight w:val="yellow"/>
        </w:rPr>
      </w:pPr>
      <w:r>
        <w:t xml:space="preserve">A link to this policy is available on the McClelland College website, staff will be directed to this policy via the Staff </w:t>
      </w:r>
      <w:proofErr w:type="gramStart"/>
      <w:r>
        <w:t>Hand Book</w:t>
      </w:r>
      <w:proofErr w:type="gramEnd"/>
      <w:r>
        <w:t>, parents and students will be directed to this policy via COG and the students PLJ.</w:t>
      </w:r>
    </w:p>
    <w:p w14:paraId="637E3AFE" w14:textId="5E125AA2" w:rsidR="008F633F"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254CFBC1" w14:textId="030C396F" w:rsidR="008F633F" w:rsidRPr="00D76F37" w:rsidRDefault="00D76F37" w:rsidP="00D76F37">
      <w:pPr>
        <w:spacing w:before="40" w:line="22" w:lineRule="atLeast"/>
      </w:pPr>
      <w:r>
        <w:t>To provide parents/carers and other members of our school community with an overview of McClelland College’s reimbursement of funds paid policy. McClelland College encourages all students to participate in extra-curricular activities including attendance at camps and excursions and optional educational classes.</w:t>
      </w:r>
    </w:p>
    <w:p w14:paraId="0D202B90" w14:textId="3E61AC22" w:rsidR="008F633F" w:rsidRPr="00886B8B"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2375D253" w14:textId="77777777" w:rsidR="00C7478E" w:rsidRDefault="001F0629" w:rsidP="00D45710">
      <w:pPr>
        <w:jc w:val="both"/>
      </w:pPr>
      <w:r>
        <w:t xml:space="preserve">This policy </w:t>
      </w:r>
      <w:r w:rsidR="00752765">
        <w:t>applies to</w:t>
      </w:r>
      <w:r w:rsidR="00C7478E">
        <w:t>:</w:t>
      </w:r>
    </w:p>
    <w:p w14:paraId="3A6CBDDE" w14:textId="2DF81B32" w:rsidR="00C7478E" w:rsidRDefault="00752765" w:rsidP="00D45710">
      <w:pPr>
        <w:pStyle w:val="ListParagraph"/>
        <w:numPr>
          <w:ilvl w:val="0"/>
          <w:numId w:val="2"/>
        </w:numPr>
        <w:jc w:val="both"/>
      </w:pPr>
      <w:r>
        <w:t xml:space="preserve">all </w:t>
      </w:r>
      <w:r w:rsidR="00D76F37">
        <w:t>students, families and staff</w:t>
      </w:r>
    </w:p>
    <w:p w14:paraId="2FBC69F8" w14:textId="34B0E0F5" w:rsidR="008F633F" w:rsidRDefault="00ED3EEB" w:rsidP="00ED3EEB">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28ED79B8" w14:textId="77777777" w:rsidR="00D76F37" w:rsidRDefault="00D76F37" w:rsidP="00D76F37">
      <w:pPr>
        <w:spacing w:before="40" w:line="22" w:lineRule="atLeast"/>
        <w:outlineLvl w:val="1"/>
      </w:pPr>
      <w:r>
        <w:t xml:space="preserve">Refund Policy for camps or excursions held at The College must ensure that the provision of camps or excursions do not incur costs directly on the College or do not run at a loss. There will be occasions when, for whatever reason(s), a student needs to withdraw from a camp or excursion after payment has been made to the College for all or part of that activity. Students withdrawing from camps and excursions will not automatically be entitled to a refund. </w:t>
      </w:r>
    </w:p>
    <w:p w14:paraId="39635219" w14:textId="77777777" w:rsidR="00D76F37" w:rsidRDefault="00D76F37" w:rsidP="00D76F37">
      <w:pPr>
        <w:pStyle w:val="ListParagraph"/>
        <w:numPr>
          <w:ilvl w:val="0"/>
          <w:numId w:val="29"/>
        </w:numPr>
        <w:spacing w:before="40" w:line="22" w:lineRule="atLeast"/>
        <w:outlineLvl w:val="1"/>
      </w:pPr>
      <w:r>
        <w:t>Where no cost is incurred by the College, a refund will be available when:</w:t>
      </w:r>
    </w:p>
    <w:p w14:paraId="32516326" w14:textId="77777777" w:rsidR="00D76F37" w:rsidRDefault="00D76F37" w:rsidP="00D76F37">
      <w:pPr>
        <w:pStyle w:val="ListParagraph"/>
        <w:spacing w:before="40" w:line="22" w:lineRule="atLeast"/>
        <w:outlineLvl w:val="1"/>
      </w:pPr>
      <w:r>
        <w:sym w:font="Symbol" w:char="F0B7"/>
      </w:r>
      <w:r>
        <w:t xml:space="preserve"> The student’s place is filled by another </w:t>
      </w:r>
    </w:p>
    <w:p w14:paraId="77556904" w14:textId="74FC5A2F" w:rsidR="00D76F37" w:rsidRDefault="00D76F37" w:rsidP="00D76F37">
      <w:pPr>
        <w:pStyle w:val="ListParagraph"/>
        <w:spacing w:before="40" w:line="22" w:lineRule="atLeast"/>
        <w:outlineLvl w:val="1"/>
      </w:pPr>
      <w:r>
        <w:sym w:font="Symbol" w:char="F0B7"/>
      </w:r>
      <w:r>
        <w:t xml:space="preserve"> The College deems the student’s withdrawal was unavoidable </w:t>
      </w:r>
      <w:proofErr w:type="gramStart"/>
      <w:r>
        <w:t>e.g.</w:t>
      </w:r>
      <w:proofErr w:type="gramEnd"/>
      <w:r>
        <w:t xml:space="preserve"> illness supported by a medical certificate </w:t>
      </w:r>
    </w:p>
    <w:p w14:paraId="22AAB1D8" w14:textId="77777777" w:rsidR="00D76F37" w:rsidRPr="009F1015" w:rsidRDefault="00D76F37" w:rsidP="00D76F37">
      <w:pPr>
        <w:pStyle w:val="ListParagraph"/>
        <w:numPr>
          <w:ilvl w:val="0"/>
          <w:numId w:val="29"/>
        </w:numPr>
        <w:spacing w:before="40" w:line="22" w:lineRule="atLeast"/>
        <w:outlineLvl w:val="1"/>
        <w:rPr>
          <w:rFonts w:asciiTheme="majorHAnsi" w:eastAsiaTheme="majorEastAsia" w:hAnsiTheme="majorHAnsi" w:cstheme="majorBidi"/>
          <w:b/>
          <w:caps/>
          <w:color w:val="5B9BD5" w:themeColor="accent1"/>
          <w:sz w:val="26"/>
          <w:szCs w:val="26"/>
        </w:rPr>
      </w:pPr>
      <w:r>
        <w:t xml:space="preserve"> A full or partial refund shall be available when:</w:t>
      </w:r>
    </w:p>
    <w:p w14:paraId="09757AD2" w14:textId="35E18938" w:rsidR="00D76F37" w:rsidRDefault="00D76F37" w:rsidP="00D76F37">
      <w:pPr>
        <w:pStyle w:val="ListParagraph"/>
        <w:spacing w:before="40" w:line="22" w:lineRule="atLeast"/>
        <w:outlineLvl w:val="1"/>
      </w:pPr>
      <w:r>
        <w:t xml:space="preserve">The College deems the withdrawal was unavoidable but where the College has incurred an expense relating to the withdrawal. In such cases, the refund will be the amount paid by the student, less the expense incurred by the school because of the camp or excursion. </w:t>
      </w:r>
      <w:r>
        <w:br/>
      </w:r>
      <w:r>
        <w:sym w:font="Symbol" w:char="F0B7"/>
      </w:r>
      <w:r>
        <w:t xml:space="preserve"> The College cancels the event due to extreme and unavoidable circumstances (i.e. extreme weather) and the College has already incurred the costs of the camp or excursion.</w:t>
      </w:r>
      <w:r>
        <w:br/>
      </w:r>
      <w:r>
        <w:sym w:font="Symbol" w:char="F0B7"/>
      </w:r>
      <w:r>
        <w:t xml:space="preserve"> Where the College makes the decision to cancel a camp or excursion due to insufficient numbers, the full amount paid will be refunded.</w:t>
      </w:r>
      <w:r>
        <w:br/>
      </w:r>
      <w:r>
        <w:sym w:font="Symbol" w:char="F0B7"/>
      </w:r>
      <w:r>
        <w:t>Where the camp or excursion has had to be rescheduled because of Government warnings, parents may request a refund of monies paid less any funds retained by the deposit form for the rescheduled trip.</w:t>
      </w:r>
    </w:p>
    <w:p w14:paraId="7AF58B79" w14:textId="77777777" w:rsidR="00D76F37" w:rsidRPr="004C3BDB" w:rsidRDefault="00D76F37" w:rsidP="00D76F37">
      <w:pPr>
        <w:pStyle w:val="ListParagraph"/>
        <w:numPr>
          <w:ilvl w:val="0"/>
          <w:numId w:val="29"/>
        </w:numPr>
        <w:spacing w:before="40" w:line="22" w:lineRule="atLeast"/>
        <w:ind w:left="709"/>
        <w:outlineLvl w:val="1"/>
        <w:rPr>
          <w:rFonts w:asciiTheme="majorHAnsi" w:eastAsiaTheme="majorEastAsia" w:hAnsiTheme="majorHAnsi" w:cstheme="majorBidi"/>
          <w:b/>
          <w:caps/>
          <w:color w:val="5B9BD5" w:themeColor="accent1"/>
          <w:sz w:val="26"/>
          <w:szCs w:val="26"/>
        </w:rPr>
      </w:pPr>
      <w:r>
        <w:t xml:space="preserve">No refund be available when: </w:t>
      </w:r>
      <w:r>
        <w:br/>
      </w:r>
      <w:r>
        <w:sym w:font="Symbol" w:char="F0B7"/>
      </w:r>
      <w:r>
        <w:t xml:space="preserve"> The College deems the withdrawal was avoidable and the College has incurred the full costs of the camp or excursion.</w:t>
      </w:r>
      <w:r>
        <w:br/>
      </w:r>
      <w:r>
        <w:sym w:font="Symbol" w:char="F0B7"/>
      </w:r>
      <w:r>
        <w:t xml:space="preserve"> A student withdraws/does not attend an activity for no specific reason (e.g. change of mind) </w:t>
      </w:r>
      <w:r>
        <w:br/>
      </w:r>
      <w:r>
        <w:sym w:font="Symbol" w:char="F0B7"/>
      </w:r>
      <w:r>
        <w:t xml:space="preserve"> Where the withdrawal from the camp or excursion is due to a student suspension under the Student Discipline Procedures, the Principal will determine whether a partial or full refund is possible. </w:t>
      </w:r>
      <w:r>
        <w:br/>
      </w:r>
    </w:p>
    <w:p w14:paraId="38F4A236" w14:textId="77777777" w:rsidR="00D76F37" w:rsidRDefault="00D76F37" w:rsidP="00D76F37">
      <w:pPr>
        <w:pStyle w:val="ListParagraph"/>
        <w:spacing w:before="40" w:line="22" w:lineRule="atLeast"/>
        <w:ind w:left="0"/>
        <w:outlineLvl w:val="1"/>
      </w:pPr>
      <w:r>
        <w:t>Refund policy for school charges and optional extras, including electives, MAP’s and Music will be given on a pro-rata bases only; full term or full semester refunds only apply, there is no part term/semester refund.</w:t>
      </w:r>
    </w:p>
    <w:p w14:paraId="1BFFB1D5" w14:textId="77777777" w:rsidR="00D76F37" w:rsidRPr="004C3BDB" w:rsidRDefault="00D76F37" w:rsidP="00D76F37">
      <w:pPr>
        <w:pStyle w:val="ListParagraph"/>
        <w:spacing w:before="40" w:line="22" w:lineRule="atLeast"/>
        <w:ind w:hanging="720"/>
        <w:outlineLvl w:val="1"/>
        <w:rPr>
          <w:rFonts w:asciiTheme="majorHAnsi" w:eastAsiaTheme="majorEastAsia" w:hAnsiTheme="majorHAnsi" w:cstheme="majorBidi"/>
          <w:b/>
          <w:caps/>
          <w:color w:val="5B9BD5" w:themeColor="accent1"/>
          <w:sz w:val="26"/>
          <w:szCs w:val="26"/>
        </w:rPr>
      </w:pPr>
    </w:p>
    <w:p w14:paraId="3B560568" w14:textId="44A34E9C" w:rsidR="00D76F37" w:rsidRDefault="00D76F37" w:rsidP="00D76F37">
      <w:pPr>
        <w:pStyle w:val="ListParagraph"/>
        <w:spacing w:before="40" w:line="22" w:lineRule="atLeast"/>
        <w:ind w:left="0"/>
        <w:outlineLvl w:val="1"/>
      </w:pPr>
      <w:r>
        <w:t xml:space="preserve">Refund payments will be made by direct credit or allocated to your family statement for future use. </w:t>
      </w:r>
      <w:r w:rsidRPr="004C3BDB">
        <w:rPr>
          <w:b/>
        </w:rPr>
        <w:t>Refunds can only be given when requested in writing</w:t>
      </w:r>
      <w:r>
        <w:rPr>
          <w:b/>
        </w:rPr>
        <w:t xml:space="preserve"> or by email to </w:t>
      </w:r>
      <w:hyperlink r:id="rId13" w:history="1">
        <w:r w:rsidRPr="00F61AB1">
          <w:rPr>
            <w:rStyle w:val="Hyperlink"/>
            <w:b/>
          </w:rPr>
          <w:t>mcclelland.sc@education.vic.gov.au</w:t>
        </w:r>
      </w:hyperlink>
      <w:r>
        <w:rPr>
          <w:b/>
        </w:rPr>
        <w:t xml:space="preserve"> or when a </w:t>
      </w:r>
      <w:r w:rsidRPr="00D76F37">
        <w:rPr>
          <w:b/>
          <w:i/>
          <w:iCs/>
        </w:rPr>
        <w:t>Request for Refund</w:t>
      </w:r>
      <w:r>
        <w:rPr>
          <w:b/>
        </w:rPr>
        <w:t xml:space="preserve"> form, available from the front office</w:t>
      </w:r>
      <w:r>
        <w:t xml:space="preserve">, is filled out within reasonable time of the activity. </w:t>
      </w:r>
      <w:r w:rsidRPr="00306AFA">
        <w:rPr>
          <w:b/>
        </w:rPr>
        <w:t>No cash refunds will be given</w:t>
      </w:r>
      <w:r>
        <w:t xml:space="preserve">. </w:t>
      </w:r>
    </w:p>
    <w:p w14:paraId="00B2EA54" w14:textId="77777777" w:rsidR="00D76F37" w:rsidRPr="00886B8B" w:rsidRDefault="00D76F37" w:rsidP="00ED3EEB">
      <w:pPr>
        <w:jc w:val="both"/>
        <w:outlineLvl w:val="1"/>
        <w:rPr>
          <w:rFonts w:asciiTheme="majorHAnsi" w:eastAsiaTheme="majorEastAsia" w:hAnsiTheme="majorHAnsi" w:cstheme="majorBidi"/>
          <w:b/>
          <w:caps/>
          <w:color w:val="5B9BD5" w:themeColor="accent1"/>
          <w:sz w:val="26"/>
          <w:szCs w:val="26"/>
        </w:rPr>
      </w:pPr>
    </w:p>
    <w:p w14:paraId="375BA1BA" w14:textId="254BA370" w:rsidR="002A671C" w:rsidRPr="00ED3EEB" w:rsidRDefault="00ED3EEB" w:rsidP="00ED3EEB">
      <w:pPr>
        <w:jc w:val="both"/>
        <w:outlineLvl w:val="1"/>
        <w:rPr>
          <w:rFonts w:asciiTheme="majorHAnsi" w:eastAsiaTheme="majorEastAsia" w:hAnsiTheme="majorHAnsi" w:cstheme="majorBidi"/>
          <w:b/>
          <w:caps/>
          <w:color w:val="5B9BD5" w:themeColor="accent1"/>
          <w:sz w:val="26"/>
          <w:szCs w:val="26"/>
        </w:rPr>
      </w:pPr>
      <w:r w:rsidRPr="00ED3EEB">
        <w:rPr>
          <w:rFonts w:asciiTheme="majorHAnsi" w:eastAsiaTheme="majorEastAsia" w:hAnsiTheme="majorHAnsi" w:cstheme="majorBidi"/>
          <w:b/>
          <w:caps/>
          <w:color w:val="5B9BD5" w:themeColor="accent1"/>
          <w:sz w:val="26"/>
          <w:szCs w:val="26"/>
        </w:rPr>
        <w:lastRenderedPageBreak/>
        <w:t>Further information and resources</w:t>
      </w:r>
    </w:p>
    <w:p w14:paraId="6E32E3FB" w14:textId="77777777" w:rsidR="00D76F37" w:rsidRPr="00DF47F8" w:rsidRDefault="00163A49" w:rsidP="00D76F37">
      <w:pPr>
        <w:pStyle w:val="ListParagraph"/>
        <w:numPr>
          <w:ilvl w:val="0"/>
          <w:numId w:val="4"/>
        </w:numPr>
        <w:spacing w:before="40" w:line="22" w:lineRule="atLeast"/>
        <w:jc w:val="both"/>
        <w:rPr>
          <w:rStyle w:val="Hyperlink"/>
          <w:color w:val="auto"/>
          <w:u w:val="none"/>
        </w:rPr>
      </w:pPr>
      <w:hyperlink r:id="rId14" w:anchor="link63" w:history="1">
        <w:r w:rsidR="00D76F37" w:rsidRPr="00096146">
          <w:rPr>
            <w:rStyle w:val="Hyperlink"/>
          </w:rPr>
          <w:t>Finance Manual for Victorian Government Schools</w:t>
        </w:r>
      </w:hyperlink>
    </w:p>
    <w:p w14:paraId="3161174F" w14:textId="77777777" w:rsidR="00D76F37" w:rsidRPr="00113981" w:rsidRDefault="00163A49" w:rsidP="00D76F37">
      <w:pPr>
        <w:pStyle w:val="ListParagraph"/>
        <w:numPr>
          <w:ilvl w:val="0"/>
          <w:numId w:val="4"/>
        </w:numPr>
        <w:spacing w:before="40" w:line="22" w:lineRule="atLeast"/>
        <w:jc w:val="both"/>
        <w:rPr>
          <w:rStyle w:val="Hyperlink"/>
          <w:color w:val="auto"/>
          <w:u w:val="none"/>
        </w:rPr>
      </w:pPr>
      <w:hyperlink r:id="rId15" w:history="1">
        <w:r w:rsidR="00D76F37">
          <w:rPr>
            <w:rStyle w:val="Hyperlink"/>
            <w:lang w:eastAsia="en-AU"/>
          </w:rPr>
          <w:t>School Financial Guidelines</w:t>
        </w:r>
      </w:hyperlink>
    </w:p>
    <w:p w14:paraId="1C1879C5" w14:textId="77777777" w:rsidR="00D76F37" w:rsidRPr="00D76F37" w:rsidRDefault="00D76F37" w:rsidP="00D76F37">
      <w:pPr>
        <w:pStyle w:val="ListParagraph"/>
        <w:spacing w:after="0" w:line="240" w:lineRule="auto"/>
        <w:jc w:val="both"/>
        <w:rPr>
          <w:rFonts w:ascii="Calibri" w:hAnsi="Calibri" w:cs="Calibri"/>
          <w:b/>
        </w:rPr>
      </w:pPr>
    </w:p>
    <w:p w14:paraId="5C41D6C5" w14:textId="707A2E0E" w:rsidR="00D0070E" w:rsidRPr="00ED3EEB" w:rsidRDefault="00ED3EEB" w:rsidP="00ED3EEB">
      <w:pPr>
        <w:jc w:val="both"/>
        <w:outlineLvl w:val="1"/>
        <w:rPr>
          <w:rFonts w:asciiTheme="majorHAnsi" w:eastAsiaTheme="majorEastAsia" w:hAnsiTheme="majorHAnsi" w:cstheme="majorBidi"/>
          <w:b/>
          <w:caps/>
          <w:color w:val="5B9BD5" w:themeColor="accent1"/>
          <w:sz w:val="26"/>
          <w:szCs w:val="26"/>
        </w:rPr>
      </w:pPr>
      <w:r w:rsidRPr="00ED3EEB">
        <w:rPr>
          <w:rFonts w:asciiTheme="majorHAnsi" w:eastAsiaTheme="majorEastAsia" w:hAnsiTheme="majorHAnsi" w:cstheme="majorBidi"/>
          <w:b/>
          <w:caps/>
          <w:color w:val="5B9BD5" w:themeColor="accent1"/>
          <w:sz w:val="26"/>
          <w:szCs w:val="26"/>
        </w:rPr>
        <w:t>Review cycle and evaluation</w:t>
      </w:r>
    </w:p>
    <w:p w14:paraId="64D93B60" w14:textId="39A9C1B7" w:rsidR="00D0070E" w:rsidRPr="002A671C" w:rsidRDefault="00163A49" w:rsidP="00D0070E">
      <w:pPr>
        <w:jc w:val="both"/>
        <w:rPr>
          <w:rFonts w:cs="Arial"/>
        </w:rPr>
      </w:pPr>
      <w:r>
        <w:rPr>
          <w:rFonts w:cs="Arial"/>
        </w:rPr>
        <w:t>This policy was last approved by College Council on 2</w:t>
      </w:r>
      <w:r w:rsidRPr="00163A49">
        <w:rPr>
          <w:rFonts w:cs="Arial"/>
          <w:vertAlign w:val="superscript"/>
        </w:rPr>
        <w:t>nd</w:t>
      </w:r>
      <w:r>
        <w:rPr>
          <w:rFonts w:cs="Arial"/>
        </w:rPr>
        <w:t xml:space="preserve"> August 2022 </w:t>
      </w:r>
      <w:r w:rsidR="00D0070E" w:rsidRPr="002A671C">
        <w:rPr>
          <w:rFonts w:cs="Arial"/>
        </w:rPr>
        <w:t xml:space="preserve">and is scheduled for review in </w:t>
      </w:r>
      <w:r w:rsidR="00225E73">
        <w:rPr>
          <w:rFonts w:cs="Arial"/>
        </w:rPr>
        <w:t>June 20</w:t>
      </w:r>
      <w:r w:rsidR="00D76F37">
        <w:rPr>
          <w:rFonts w:cs="Arial"/>
        </w:rPr>
        <w:t>2</w:t>
      </w:r>
      <w:r>
        <w:rPr>
          <w:rFonts w:cs="Arial"/>
        </w:rPr>
        <w:t>6</w:t>
      </w:r>
      <w:r w:rsidR="00866C69">
        <w:rPr>
          <w:rFonts w:cs="Arial"/>
        </w:rPr>
        <w:t>.</w:t>
      </w:r>
    </w:p>
    <w:p w14:paraId="3E2BB572" w14:textId="77777777" w:rsidR="00D0070E" w:rsidRPr="00F9549B" w:rsidRDefault="00D0070E" w:rsidP="00D45710">
      <w:pPr>
        <w:jc w:val="both"/>
      </w:pPr>
    </w:p>
    <w:sectPr w:rsidR="00D0070E" w:rsidRPr="00F9549B" w:rsidSect="00163A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3259" w14:textId="77777777" w:rsidR="00C97608" w:rsidRDefault="00C97608" w:rsidP="001C7432">
      <w:pPr>
        <w:spacing w:after="0" w:line="240" w:lineRule="auto"/>
      </w:pPr>
      <w:r>
        <w:separator/>
      </w:r>
    </w:p>
  </w:endnote>
  <w:endnote w:type="continuationSeparator" w:id="0">
    <w:p w14:paraId="3E03A379" w14:textId="77777777" w:rsidR="00C97608" w:rsidRDefault="00C97608" w:rsidP="001C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84F0F" w14:textId="77777777" w:rsidR="00C97608" w:rsidRDefault="00C97608" w:rsidP="001C7432">
      <w:pPr>
        <w:spacing w:after="0" w:line="240" w:lineRule="auto"/>
      </w:pPr>
      <w:r>
        <w:separator/>
      </w:r>
    </w:p>
  </w:footnote>
  <w:footnote w:type="continuationSeparator" w:id="0">
    <w:p w14:paraId="71A3DC47" w14:textId="77777777" w:rsidR="00C97608" w:rsidRDefault="00C97608" w:rsidP="001C7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05"/>
    <w:multiLevelType w:val="hybridMultilevel"/>
    <w:tmpl w:val="3B9EAF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2D641C"/>
    <w:multiLevelType w:val="hybridMultilevel"/>
    <w:tmpl w:val="58BEE1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D4DFF"/>
    <w:multiLevelType w:val="hybridMultilevel"/>
    <w:tmpl w:val="F4924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BE61BC"/>
    <w:multiLevelType w:val="hybridMultilevel"/>
    <w:tmpl w:val="6A409C60"/>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A23F7"/>
    <w:multiLevelType w:val="hybridMultilevel"/>
    <w:tmpl w:val="84923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07353"/>
    <w:multiLevelType w:val="hybridMultilevel"/>
    <w:tmpl w:val="140084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1E1A06"/>
    <w:multiLevelType w:val="hybridMultilevel"/>
    <w:tmpl w:val="3F087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D35F9"/>
    <w:multiLevelType w:val="multilevel"/>
    <w:tmpl w:val="C14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23B68"/>
    <w:multiLevelType w:val="hybridMultilevel"/>
    <w:tmpl w:val="D09CA036"/>
    <w:lvl w:ilvl="0" w:tplc="CD5A7F70">
      <w:start w:val="1"/>
      <w:numFmt w:val="decimal"/>
      <w:lvlText w:val="%1."/>
      <w:lvlJc w:val="left"/>
      <w:pPr>
        <w:ind w:left="644" w:hanging="360"/>
      </w:pPr>
      <w:rPr>
        <w:rFonts w:asciiTheme="minorHAnsi" w:hAnsiTheme="minorHAnsi" w:cstheme="minorHAnsi" w:hint="default"/>
        <w:b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5A39C9"/>
    <w:multiLevelType w:val="hybridMultilevel"/>
    <w:tmpl w:val="3C2A8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7"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2B6EAC"/>
    <w:multiLevelType w:val="hybridMultilevel"/>
    <w:tmpl w:val="CF66F88C"/>
    <w:lvl w:ilvl="0" w:tplc="D8D8789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727827"/>
    <w:multiLevelType w:val="hybridMultilevel"/>
    <w:tmpl w:val="77F4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3759382">
    <w:abstractNumId w:val="27"/>
  </w:num>
  <w:num w:numId="2" w16cid:durableId="335884821">
    <w:abstractNumId w:val="9"/>
  </w:num>
  <w:num w:numId="3" w16cid:durableId="436364083">
    <w:abstractNumId w:val="11"/>
  </w:num>
  <w:num w:numId="4" w16cid:durableId="1284655388">
    <w:abstractNumId w:val="22"/>
  </w:num>
  <w:num w:numId="5" w16cid:durableId="768163972">
    <w:abstractNumId w:val="5"/>
  </w:num>
  <w:num w:numId="6" w16cid:durableId="478887912">
    <w:abstractNumId w:val="26"/>
  </w:num>
  <w:num w:numId="7" w16cid:durableId="1004623509">
    <w:abstractNumId w:val="25"/>
  </w:num>
  <w:num w:numId="8" w16cid:durableId="1002126945">
    <w:abstractNumId w:val="14"/>
  </w:num>
  <w:num w:numId="9" w16cid:durableId="1612933061">
    <w:abstractNumId w:val="10"/>
  </w:num>
  <w:num w:numId="10" w16cid:durableId="583609068">
    <w:abstractNumId w:val="2"/>
  </w:num>
  <w:num w:numId="11" w16cid:durableId="1448353791">
    <w:abstractNumId w:val="19"/>
  </w:num>
  <w:num w:numId="12" w16cid:durableId="1289436885">
    <w:abstractNumId w:val="21"/>
  </w:num>
  <w:num w:numId="13" w16cid:durableId="2079789861">
    <w:abstractNumId w:val="4"/>
  </w:num>
  <w:num w:numId="14" w16cid:durableId="1592617710">
    <w:abstractNumId w:val="17"/>
  </w:num>
  <w:num w:numId="15" w16cid:durableId="1237787355">
    <w:abstractNumId w:val="29"/>
  </w:num>
  <w:num w:numId="16" w16cid:durableId="691154764">
    <w:abstractNumId w:val="23"/>
  </w:num>
  <w:num w:numId="17" w16cid:durableId="581648143">
    <w:abstractNumId w:val="0"/>
  </w:num>
  <w:num w:numId="18" w16cid:durableId="2099325350">
    <w:abstractNumId w:val="8"/>
  </w:num>
  <w:num w:numId="19" w16cid:durableId="1666470462">
    <w:abstractNumId w:val="3"/>
  </w:num>
  <w:num w:numId="20" w16cid:durableId="1628271821">
    <w:abstractNumId w:val="18"/>
  </w:num>
  <w:num w:numId="21" w16cid:durableId="828710180">
    <w:abstractNumId w:val="15"/>
  </w:num>
  <w:num w:numId="22" w16cid:durableId="1426923232">
    <w:abstractNumId w:val="24"/>
  </w:num>
  <w:num w:numId="23" w16cid:durableId="1217475166">
    <w:abstractNumId w:val="20"/>
  </w:num>
  <w:num w:numId="24" w16cid:durableId="568148370">
    <w:abstractNumId w:val="12"/>
  </w:num>
  <w:num w:numId="25" w16cid:durableId="94179677">
    <w:abstractNumId w:val="16"/>
  </w:num>
  <w:num w:numId="26" w16cid:durableId="526871906">
    <w:abstractNumId w:val="1"/>
  </w:num>
  <w:num w:numId="27" w16cid:durableId="391199222">
    <w:abstractNumId w:val="6"/>
  </w:num>
  <w:num w:numId="28" w16cid:durableId="1597711738">
    <w:abstractNumId w:val="7"/>
  </w:num>
  <w:num w:numId="29" w16cid:durableId="400566802">
    <w:abstractNumId w:val="13"/>
  </w:num>
  <w:num w:numId="30" w16cid:durableId="179728998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OyNDcxNDc3MDYzMzZR0lEKTi0uzszPAykwrgUA/iWOuiwAAAA="/>
  </w:docVars>
  <w:rsids>
    <w:rsidRoot w:val="008F633F"/>
    <w:rsid w:val="0001633A"/>
    <w:rsid w:val="00036B38"/>
    <w:rsid w:val="00076554"/>
    <w:rsid w:val="0008308A"/>
    <w:rsid w:val="00092A44"/>
    <w:rsid w:val="000C7149"/>
    <w:rsid w:val="0010315E"/>
    <w:rsid w:val="001273C2"/>
    <w:rsid w:val="00141BCC"/>
    <w:rsid w:val="00150FBD"/>
    <w:rsid w:val="00163A49"/>
    <w:rsid w:val="00171822"/>
    <w:rsid w:val="00171ED6"/>
    <w:rsid w:val="001C7432"/>
    <w:rsid w:val="001F0629"/>
    <w:rsid w:val="00225E73"/>
    <w:rsid w:val="002327CC"/>
    <w:rsid w:val="00233AC4"/>
    <w:rsid w:val="00291958"/>
    <w:rsid w:val="002A59D0"/>
    <w:rsid w:val="002A671C"/>
    <w:rsid w:val="002F4A24"/>
    <w:rsid w:val="00315420"/>
    <w:rsid w:val="00351FD0"/>
    <w:rsid w:val="0035251C"/>
    <w:rsid w:val="00377EF9"/>
    <w:rsid w:val="003A7D12"/>
    <w:rsid w:val="003F2E51"/>
    <w:rsid w:val="003F46CD"/>
    <w:rsid w:val="004137E2"/>
    <w:rsid w:val="00435B05"/>
    <w:rsid w:val="00463F6C"/>
    <w:rsid w:val="004A2829"/>
    <w:rsid w:val="004D3817"/>
    <w:rsid w:val="004E18C0"/>
    <w:rsid w:val="004E5618"/>
    <w:rsid w:val="004F5969"/>
    <w:rsid w:val="00512D53"/>
    <w:rsid w:val="00523351"/>
    <w:rsid w:val="00567445"/>
    <w:rsid w:val="005A4166"/>
    <w:rsid w:val="005B69C8"/>
    <w:rsid w:val="005C5C53"/>
    <w:rsid w:val="005D4FC1"/>
    <w:rsid w:val="005E7CE7"/>
    <w:rsid w:val="00622E86"/>
    <w:rsid w:val="006247BB"/>
    <w:rsid w:val="00627514"/>
    <w:rsid w:val="006275AF"/>
    <w:rsid w:val="00633D96"/>
    <w:rsid w:val="00662782"/>
    <w:rsid w:val="006C6A08"/>
    <w:rsid w:val="006D5FDA"/>
    <w:rsid w:val="006F7E93"/>
    <w:rsid w:val="00733EE2"/>
    <w:rsid w:val="00750993"/>
    <w:rsid w:val="00752765"/>
    <w:rsid w:val="007D1DEF"/>
    <w:rsid w:val="007F3C69"/>
    <w:rsid w:val="00802E27"/>
    <w:rsid w:val="00847993"/>
    <w:rsid w:val="00856658"/>
    <w:rsid w:val="00864396"/>
    <w:rsid w:val="00866C69"/>
    <w:rsid w:val="0088387F"/>
    <w:rsid w:val="00886B8B"/>
    <w:rsid w:val="008A3F97"/>
    <w:rsid w:val="008F11B3"/>
    <w:rsid w:val="008F2F39"/>
    <w:rsid w:val="008F633F"/>
    <w:rsid w:val="009033F4"/>
    <w:rsid w:val="00963271"/>
    <w:rsid w:val="00965EE5"/>
    <w:rsid w:val="00976E32"/>
    <w:rsid w:val="009A32CD"/>
    <w:rsid w:val="009B4FF5"/>
    <w:rsid w:val="009C4085"/>
    <w:rsid w:val="009E39F2"/>
    <w:rsid w:val="009F0EF1"/>
    <w:rsid w:val="00A0241D"/>
    <w:rsid w:val="00A04168"/>
    <w:rsid w:val="00A15380"/>
    <w:rsid w:val="00A17B8D"/>
    <w:rsid w:val="00A52AAE"/>
    <w:rsid w:val="00A552E5"/>
    <w:rsid w:val="00A845E2"/>
    <w:rsid w:val="00AB162E"/>
    <w:rsid w:val="00B2620F"/>
    <w:rsid w:val="00B5427D"/>
    <w:rsid w:val="00B758B4"/>
    <w:rsid w:val="00BD1AC6"/>
    <w:rsid w:val="00BF76D6"/>
    <w:rsid w:val="00C07B93"/>
    <w:rsid w:val="00C42FBE"/>
    <w:rsid w:val="00C56FC6"/>
    <w:rsid w:val="00C7478E"/>
    <w:rsid w:val="00C77DE3"/>
    <w:rsid w:val="00C81286"/>
    <w:rsid w:val="00C97608"/>
    <w:rsid w:val="00CF0500"/>
    <w:rsid w:val="00CF2866"/>
    <w:rsid w:val="00CF5C86"/>
    <w:rsid w:val="00D0070E"/>
    <w:rsid w:val="00D15F63"/>
    <w:rsid w:val="00D45710"/>
    <w:rsid w:val="00D62A4F"/>
    <w:rsid w:val="00D76F37"/>
    <w:rsid w:val="00D827E2"/>
    <w:rsid w:val="00D8481C"/>
    <w:rsid w:val="00DA37B4"/>
    <w:rsid w:val="00DB6B46"/>
    <w:rsid w:val="00DC4C91"/>
    <w:rsid w:val="00DC6686"/>
    <w:rsid w:val="00E12BEA"/>
    <w:rsid w:val="00E427CC"/>
    <w:rsid w:val="00E74DA8"/>
    <w:rsid w:val="00E80047"/>
    <w:rsid w:val="00EB6189"/>
    <w:rsid w:val="00EC1BC4"/>
    <w:rsid w:val="00EC469B"/>
    <w:rsid w:val="00ED0D11"/>
    <w:rsid w:val="00ED3EEB"/>
    <w:rsid w:val="00ED742A"/>
    <w:rsid w:val="00F1280C"/>
    <w:rsid w:val="00F51D98"/>
    <w:rsid w:val="00F618DB"/>
    <w:rsid w:val="00F74A12"/>
    <w:rsid w:val="00F81D9F"/>
    <w:rsid w:val="00F9549B"/>
    <w:rsid w:val="00FC10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D6911"/>
  <w15:docId w15:val="{991028BA-21A9-4BEB-A450-31297423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Header">
    <w:name w:val="header"/>
    <w:basedOn w:val="Normal"/>
    <w:link w:val="HeaderChar"/>
    <w:uiPriority w:val="99"/>
    <w:unhideWhenUsed/>
    <w:rsid w:val="001C74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432"/>
  </w:style>
  <w:style w:type="paragraph" w:styleId="Footer">
    <w:name w:val="footer"/>
    <w:basedOn w:val="Normal"/>
    <w:link w:val="FooterChar"/>
    <w:uiPriority w:val="99"/>
    <w:unhideWhenUsed/>
    <w:rsid w:val="001C74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432"/>
  </w:style>
  <w:style w:type="character" w:styleId="UnresolvedMention">
    <w:name w:val="Unresolved Mention"/>
    <w:basedOn w:val="DefaultParagraphFont"/>
    <w:uiPriority w:val="99"/>
    <w:semiHidden/>
    <w:unhideWhenUsed/>
    <w:rsid w:val="00D7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clelland.sc@education.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vic.gov.au/school/teachers/management/finance/Pages/guidelines.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ducation.vic.gov.au/school/teachers/management/finance/Pages/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6EFD3-950A-466E-9713-10D657ACB161}">
  <ds:schemaRefs>
    <ds:schemaRef ds:uri="http://schemas.openxmlformats.org/officeDocument/2006/bibliography"/>
  </ds:schemaRefs>
</ds:datastoreItem>
</file>

<file path=customXml/itemProps2.xml><?xml version="1.0" encoding="utf-8"?>
<ds:datastoreItem xmlns:ds="http://schemas.openxmlformats.org/officeDocument/2006/customXml" ds:itemID="{35DCDE6C-CB84-4311-999C-A702B13B38B3}">
  <ds:schemaRefs>
    <ds:schemaRef ds:uri="http://schemas.microsoft.com/sharepoint/events"/>
  </ds:schemaRefs>
</ds:datastoreItem>
</file>

<file path=customXml/itemProps3.xml><?xml version="1.0" encoding="utf-8"?>
<ds:datastoreItem xmlns:ds="http://schemas.openxmlformats.org/officeDocument/2006/customXml" ds:itemID="{C522948C-7210-4AF6-9816-A4B2CEAFB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E3862-9D3A-4559-A9C5-50AF6BA6E509}">
  <ds:schemaRefs>
    <ds:schemaRef ds:uri="http://schemas.microsoft.com/office/2006/documentManagement/types"/>
    <ds:schemaRef ds:uri="61e538cb-f8c2-4c9c-ac78-9205d03c8849"/>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F97897E-95E0-446B-A978-075E199168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Melinda Dunston</cp:lastModifiedBy>
  <cp:revision>2</cp:revision>
  <cp:lastPrinted>2017-12-19T06:02:00Z</cp:lastPrinted>
  <dcterms:created xsi:type="dcterms:W3CDTF">2022-07-29T04:08:00Z</dcterms:created>
  <dcterms:modified xsi:type="dcterms:W3CDTF">2022-07-29T04:08:00Z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{0a2421d4-cb02-4aa3-bcc3-5a1d61f27555}</vt:lpwstr>
  </property>
  <property fmtid="{D5CDD505-2E9C-101B-9397-08002B2CF9AE}" pid="10" name="RecordPoint_ActiveItemWebId">
    <vt:lpwstr>{603f2397-5de8-47f6-bd19-8ee820c94c7c}</vt:lpwstr>
  </property>
  <property fmtid="{D5CDD505-2E9C-101B-9397-08002B2CF9AE}" pid="11" name="RecordPoint_RecordNumberSubmitted">
    <vt:lpwstr>R2018/086634</vt:lpwstr>
  </property>
  <property fmtid="{D5CDD505-2E9C-101B-9397-08002B2CF9AE}" pid="12" name="RecordPoint_SubmissionCompleted">
    <vt:lpwstr>2018-03-06T10:22:13.1614707+11:00</vt:lpwstr>
  </property>
  <property fmtid="{D5CDD505-2E9C-101B-9397-08002B2CF9AE}" pid="13" name="_docset_NoMedatataSyncRequired">
    <vt:lpwstr>False</vt:lpwstr>
  </property>
</Properties>
</file>